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83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Скажите НЕТ зарплате «в конверте» </w:t>
      </w:r>
    </w:p>
    <w:p>
      <w:pPr>
        <w:pStyle w:val="Normal"/>
        <w:jc w:val="both"/>
        <w:rPr/>
      </w:pPr>
      <w:r>
        <w:rPr>
          <w:rStyle w:val="Style13"/>
          <w:sz w:val="28"/>
          <w:szCs w:val="28"/>
        </w:rPr>
        <w:tab/>
      </w:r>
      <w:r>
        <w:rPr>
          <w:rStyle w:val="Style13"/>
          <w:b w:val="false"/>
          <w:bCs w:val="false"/>
          <w:sz w:val="28"/>
          <w:szCs w:val="28"/>
        </w:rPr>
        <w:t>Работодатель, выплачивающий зарплату «в конверте», лишает не только своих сотрудников достойной пенсии в будущем, но и влияет на выплаты для нынешних пенсионеров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ab/>
        <w:t>Будущая пенсия напрямую зависит от суммы страховых взносов, которую работодатель выплачивает за конкретного сотрудника. Таким образом, уплата страховых взносов с заниженной суммы зарплаты или и вовсе их неуплата приводит к уменьшению размера будущей пенсии.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ab/>
        <w:t>Россияне, работающие неофициально, лишены возможности получать в полном объёме пособие по временной нетрудоспособности, безработице и по уходу за ребёнком. Кроме того, «серая» зарплата не учитывается при назначении пенсии.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К слову, получателями страховых пенсий по старости являются абсолютное большинство жителей России. Так, сегодня это 233 380 человек (93,5%)  -  жители Волжского и 13 муниципальных районов в составе Центра ПФР № 1.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870" w:type="dxa"/>
        <w:jc w:val="left"/>
        <w:tblInd w:w="1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1525"/>
        <w:gridCol w:w="1608"/>
        <w:gridCol w:w="1607"/>
        <w:gridCol w:w="1912"/>
        <w:gridCol w:w="1609"/>
        <w:gridCol w:w="1608"/>
      </w:tblGrid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Муниципалитет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Получатели пенсии, всего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Получатели страховой пенсии по старости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Муниципалитет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Получатели пенсии, всего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Получатели страховой пенсии по старости</w:t>
            </w:r>
          </w:p>
        </w:tc>
      </w:tr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>Волжский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90 035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85 945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Николаевский 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8 859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8 310</w:t>
            </w:r>
          </w:p>
        </w:tc>
      </w:tr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Быковский 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7098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6 551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Ольховский 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4 908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4 562</w:t>
            </w:r>
          </w:p>
        </w:tc>
      </w:tr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Дубовский 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8 401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7 865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Палласовский 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11 449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10 431</w:t>
            </w:r>
          </w:p>
        </w:tc>
      </w:tr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Жирновский 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13 481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12 404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Руднянский 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5 201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4 936</w:t>
            </w:r>
          </w:p>
        </w:tc>
      </w:tr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Иловлинский 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9 357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8 746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Среднеахтубинский 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15 192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14 776</w:t>
            </w:r>
          </w:p>
        </w:tc>
      </w:tr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Камышинский 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44 710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42 085 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Старополтавский 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6 270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5 743</w:t>
            </w:r>
          </w:p>
        </w:tc>
      </w:tr>
      <w:tr>
        <w:trPr/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Ленинский 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8 641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6 772</w:t>
            </w:r>
          </w:p>
        </w:tc>
        <w:tc>
          <w:tcPr>
            <w:tcW w:w="1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Фроловский 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15 945</w:t>
            </w:r>
          </w:p>
        </w:tc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14 776</w:t>
            </w:r>
          </w:p>
        </w:tc>
      </w:tr>
    </w:tbl>
    <w:p>
      <w:pPr>
        <w:pStyle w:val="Normal"/>
        <w:jc w:val="both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/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8"/>
          <w:szCs w:val="28"/>
        </w:rPr>
        <w:t>ЦЕНТР ПФР № 1</w:t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8"/>
          <w:szCs w:val="28"/>
        </w:rPr>
        <w:t>по установлению пенсий</w:t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8"/>
          <w:szCs w:val="28"/>
        </w:rPr>
        <w:t>в Волгоградской области</w:t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center"/>
        <w:rPr>
          <w:rFonts w:ascii="Liberation Serif" w:hAnsi="Liberation Serif" w:eastAsia="Times New Roman" w:cs="Times New Roman"/>
          <w:b/>
          <w:b/>
          <w:bCs/>
          <w:color w:val="006699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6699"/>
          <w:sz w:val="28"/>
          <w:szCs w:val="28"/>
          <w:lang w:eastAsia="ru-RU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entury 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Style13">
    <w:name w:val="Выделение жирным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ерхний колонтитул"/>
    <w:basedOn w:val="Normal"/>
    <w:pPr/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4"/>
    <w:pPr/>
    <w:rPr/>
  </w:style>
  <w:style w:type="paragraph" w:styleId="Style24">
    <w:name w:val="Подзаголовок"/>
    <w:basedOn w:val="Style14"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LibreOffice/4.4.3.2$Windows_x86 LibreOffice_project/88805f81e9fe61362df02b9941de8e38a9b5fd16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2021-08-23T13:27:10Z</dcterms:modified>
  <cp:revision>97</cp:revision>
</cp:coreProperties>
</file>