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Pr="00BB7DAD" w:rsidRDefault="00BB7DAD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2023 году в Волгоградской области</w:t>
      </w:r>
      <w:r w:rsidR="00681CD1">
        <w:rPr>
          <w:rFonts w:ascii="Times New Roman" w:hAnsi="Times New Roman" w:cs="Times New Roman"/>
          <w:b/>
          <w:sz w:val="28"/>
          <w:szCs w:val="28"/>
        </w:rPr>
        <w:t xml:space="preserve"> запланировано уточнить границы 46 тысяч земельных участков</w:t>
      </w:r>
      <w:r w:rsidR="00681CD1" w:rsidRPr="0068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D1">
        <w:rPr>
          <w:rFonts w:ascii="Times New Roman" w:hAnsi="Times New Roman" w:cs="Times New Roman"/>
          <w:b/>
          <w:sz w:val="28"/>
          <w:szCs w:val="28"/>
        </w:rPr>
        <w:t>за счет регионального бюджета</w:t>
      </w:r>
      <w:bookmarkEnd w:id="0"/>
    </w:p>
    <w:p w:rsidR="00D72C83" w:rsidRDefault="00D72C83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Волгоградской области проведение комплексных кадастровых работ (ККР) осуществляется, в том числе, без привлечения федеральных средств, только за счет регионального бюджета. </w:t>
      </w:r>
      <w:r w:rsidRPr="00D602C0">
        <w:rPr>
          <w:rFonts w:ascii="Times New Roman" w:hAnsi="Times New Roman" w:cs="Times New Roman"/>
          <w:sz w:val="28"/>
          <w:szCs w:val="28"/>
        </w:rPr>
        <w:t>Заказчиком пр</w:t>
      </w:r>
      <w:r>
        <w:rPr>
          <w:rFonts w:ascii="Times New Roman" w:hAnsi="Times New Roman" w:cs="Times New Roman"/>
          <w:sz w:val="28"/>
          <w:szCs w:val="28"/>
        </w:rPr>
        <w:t>оведения таких работ выступают 11</w:t>
      </w:r>
      <w:r w:rsidRPr="00D602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02C0">
        <w:rPr>
          <w:rFonts w:ascii="Times New Roman" w:hAnsi="Times New Roman" w:cs="Times New Roman"/>
          <w:sz w:val="28"/>
          <w:szCs w:val="28"/>
        </w:rPr>
        <w:t xml:space="preserve"> образований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Михайловка, Алексеевский,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Чернышковский,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Урюпинский  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D60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органами местного самоуправления </w:t>
      </w:r>
      <w:r w:rsidRPr="00D602C0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 13 муниципальных контрактов на выполнение ККР в границах 128 кадастровых кварталов в отношении около 46 тысяч объектов недвижимости.</w:t>
      </w:r>
    </w:p>
    <w:p w:rsidR="00681CD1" w:rsidRDefault="00681CD1" w:rsidP="0068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CD1" w:rsidRPr="00425A8F" w:rsidRDefault="00681CD1" w:rsidP="00681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 в границах которых выполняются ККР размещена на официальном сайте Управления в разделе Открытая служба – Статистика и аналитика – Комплексные кадастровые работы за счет средств регионального бюджета – Извещения о начале проведения комплексных кадастровых работ.</w:t>
      </w:r>
    </w:p>
    <w:p w:rsidR="00D72C83" w:rsidRPr="00D72C83" w:rsidRDefault="00D72C83" w:rsidP="00D7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2023-08-25T07:44:00Z</dcterms:created>
  <dcterms:modified xsi:type="dcterms:W3CDTF">2023-08-25T07:44:00Z</dcterms:modified>
</cp:coreProperties>
</file>